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6BC" w:rsidRPr="00A03FB7" w:rsidRDefault="00F56152" w:rsidP="00E876BC">
      <w:pPr>
        <w:spacing w:line="360" w:lineRule="auto"/>
        <w:jc w:val="center"/>
        <w:rPr>
          <w:rFonts w:ascii="Arial" w:hAnsi="Arial" w:cs="Arial"/>
          <w:b/>
          <w:sz w:val="24"/>
          <w:szCs w:val="24"/>
        </w:rPr>
      </w:pPr>
      <w:r w:rsidRPr="00A03FB7">
        <w:rPr>
          <w:rFonts w:ascii="Arial" w:hAnsi="Arial" w:cs="Arial"/>
          <w:b/>
          <w:sz w:val="24"/>
          <w:szCs w:val="24"/>
        </w:rPr>
        <w:t>REDISTRIBUIÇÃO</w:t>
      </w:r>
    </w:p>
    <w:p w:rsidR="00E876BC" w:rsidRPr="00A03FB7" w:rsidRDefault="00E876BC" w:rsidP="00E876BC">
      <w:pPr>
        <w:spacing w:line="360" w:lineRule="auto"/>
        <w:jc w:val="both"/>
        <w:rPr>
          <w:rFonts w:ascii="Arial" w:hAnsi="Arial" w:cs="Arial"/>
          <w:b/>
          <w:bCs/>
          <w:caps/>
          <w:color w:val="333333"/>
          <w:shd w:val="clear" w:color="auto" w:fill="FFFFFF"/>
        </w:rPr>
      </w:pPr>
      <w:r w:rsidRPr="00A03FB7">
        <w:rPr>
          <w:rFonts w:ascii="Arial" w:hAnsi="Arial" w:cs="Arial"/>
          <w:b/>
          <w:bCs/>
          <w:caps/>
          <w:color w:val="333333"/>
          <w:shd w:val="clear" w:color="auto" w:fill="FFFFFF"/>
        </w:rPr>
        <w:t>DEFINIÇÃO DO SERVIÇO: </w:t>
      </w:r>
    </w:p>
    <w:p w:rsidR="00F56152" w:rsidRPr="00A03FB7" w:rsidRDefault="00F56152" w:rsidP="00F56152">
      <w:pPr>
        <w:pStyle w:val="NormalWeb"/>
        <w:shd w:val="clear" w:color="auto" w:fill="FFFFFF"/>
        <w:spacing w:before="0" w:beforeAutospacing="0" w:after="0" w:afterAutospacing="0" w:line="360" w:lineRule="auto"/>
        <w:jc w:val="both"/>
        <w:rPr>
          <w:rFonts w:ascii="Arial" w:hAnsi="Arial" w:cs="Arial"/>
          <w:i/>
          <w:color w:val="000000"/>
          <w:sz w:val="20"/>
          <w:szCs w:val="20"/>
        </w:rPr>
      </w:pPr>
      <w:r w:rsidRPr="00A03FB7">
        <w:rPr>
          <w:rStyle w:val="nfase"/>
          <w:rFonts w:ascii="Arial" w:hAnsi="Arial" w:cs="Arial"/>
          <w:i w:val="0"/>
          <w:color w:val="000000"/>
          <w:sz w:val="20"/>
          <w:szCs w:val="20"/>
        </w:rPr>
        <w:t>É o deslocamento de cargo de provimento efetivo, ocupado ou vago no âmbito do quadro geral de pessoal, para outro órgão ou entidade do mesmo Poder, com prévia apreciação do órgão central do SIPEC, observados os seguintes preceitos:</w:t>
      </w:r>
    </w:p>
    <w:p w:rsidR="00F56152" w:rsidRPr="00A03FB7" w:rsidRDefault="00F56152" w:rsidP="00F56152">
      <w:pPr>
        <w:pStyle w:val="NormalWeb"/>
        <w:shd w:val="clear" w:color="auto" w:fill="FFFFFF"/>
        <w:spacing w:before="0" w:beforeAutospacing="0" w:after="0" w:afterAutospacing="0" w:line="360" w:lineRule="auto"/>
        <w:jc w:val="both"/>
        <w:rPr>
          <w:rFonts w:ascii="Arial" w:hAnsi="Arial" w:cs="Arial"/>
          <w:i/>
          <w:color w:val="000000"/>
          <w:sz w:val="20"/>
          <w:szCs w:val="20"/>
        </w:rPr>
      </w:pPr>
      <w:r w:rsidRPr="00A03FB7">
        <w:rPr>
          <w:rStyle w:val="nfase"/>
          <w:rFonts w:ascii="Arial" w:hAnsi="Arial" w:cs="Arial"/>
          <w:i w:val="0"/>
          <w:color w:val="000000"/>
          <w:sz w:val="20"/>
          <w:szCs w:val="20"/>
        </w:rPr>
        <w:t>I - interesse da administração;</w:t>
      </w:r>
    </w:p>
    <w:p w:rsidR="00F56152" w:rsidRPr="00A03FB7" w:rsidRDefault="00F56152" w:rsidP="00F56152">
      <w:pPr>
        <w:pStyle w:val="NormalWeb"/>
        <w:shd w:val="clear" w:color="auto" w:fill="FFFFFF"/>
        <w:spacing w:before="0" w:beforeAutospacing="0" w:after="0" w:afterAutospacing="0" w:line="360" w:lineRule="auto"/>
        <w:jc w:val="both"/>
        <w:rPr>
          <w:rFonts w:ascii="Arial" w:hAnsi="Arial" w:cs="Arial"/>
          <w:i/>
          <w:color w:val="000000"/>
          <w:sz w:val="20"/>
          <w:szCs w:val="20"/>
        </w:rPr>
      </w:pPr>
      <w:r w:rsidRPr="00A03FB7">
        <w:rPr>
          <w:rStyle w:val="nfase"/>
          <w:rFonts w:ascii="Arial" w:hAnsi="Arial" w:cs="Arial"/>
          <w:i w:val="0"/>
          <w:color w:val="000000"/>
          <w:sz w:val="20"/>
          <w:szCs w:val="20"/>
        </w:rPr>
        <w:t>II - equivalência de vencimentos;</w:t>
      </w:r>
    </w:p>
    <w:p w:rsidR="00F56152" w:rsidRPr="00A03FB7" w:rsidRDefault="00F56152" w:rsidP="00F56152">
      <w:pPr>
        <w:pStyle w:val="NormalWeb"/>
        <w:shd w:val="clear" w:color="auto" w:fill="FFFFFF"/>
        <w:spacing w:before="0" w:beforeAutospacing="0" w:after="0" w:afterAutospacing="0" w:line="360" w:lineRule="auto"/>
        <w:jc w:val="both"/>
        <w:rPr>
          <w:rFonts w:ascii="Arial" w:hAnsi="Arial" w:cs="Arial"/>
          <w:i/>
          <w:color w:val="000000"/>
          <w:sz w:val="20"/>
          <w:szCs w:val="20"/>
        </w:rPr>
      </w:pPr>
      <w:r w:rsidRPr="00A03FB7">
        <w:rPr>
          <w:rStyle w:val="nfase"/>
          <w:rFonts w:ascii="Arial" w:hAnsi="Arial" w:cs="Arial"/>
          <w:i w:val="0"/>
          <w:color w:val="000000"/>
          <w:sz w:val="20"/>
          <w:szCs w:val="20"/>
        </w:rPr>
        <w:t>III - manutenção da essência das atribuições do cargo;</w:t>
      </w:r>
    </w:p>
    <w:p w:rsidR="00F56152" w:rsidRPr="00A03FB7" w:rsidRDefault="00F56152" w:rsidP="00F56152">
      <w:pPr>
        <w:pStyle w:val="NormalWeb"/>
        <w:shd w:val="clear" w:color="auto" w:fill="FFFFFF"/>
        <w:spacing w:before="0" w:beforeAutospacing="0" w:after="0" w:afterAutospacing="0" w:line="360" w:lineRule="auto"/>
        <w:jc w:val="both"/>
        <w:rPr>
          <w:rFonts w:ascii="Arial" w:hAnsi="Arial" w:cs="Arial"/>
          <w:i/>
          <w:color w:val="000000"/>
          <w:sz w:val="20"/>
          <w:szCs w:val="20"/>
        </w:rPr>
      </w:pPr>
      <w:r w:rsidRPr="00A03FB7">
        <w:rPr>
          <w:rStyle w:val="nfase"/>
          <w:rFonts w:ascii="Arial" w:hAnsi="Arial" w:cs="Arial"/>
          <w:i w:val="0"/>
          <w:color w:val="000000"/>
          <w:sz w:val="20"/>
          <w:szCs w:val="20"/>
        </w:rPr>
        <w:t>IV - vinculação entre os graus de responsabilidade e complexidade das atividades;</w:t>
      </w:r>
    </w:p>
    <w:p w:rsidR="00F56152" w:rsidRPr="00A03FB7" w:rsidRDefault="00F56152" w:rsidP="00F56152">
      <w:pPr>
        <w:pStyle w:val="NormalWeb"/>
        <w:shd w:val="clear" w:color="auto" w:fill="FFFFFF"/>
        <w:spacing w:before="0" w:beforeAutospacing="0" w:after="0" w:afterAutospacing="0" w:line="360" w:lineRule="auto"/>
        <w:jc w:val="both"/>
        <w:rPr>
          <w:rFonts w:ascii="Arial" w:hAnsi="Arial" w:cs="Arial"/>
          <w:i/>
          <w:color w:val="000000"/>
          <w:sz w:val="20"/>
          <w:szCs w:val="20"/>
        </w:rPr>
      </w:pPr>
      <w:r w:rsidRPr="00A03FB7">
        <w:rPr>
          <w:rStyle w:val="nfase"/>
          <w:rFonts w:ascii="Arial" w:hAnsi="Arial" w:cs="Arial"/>
          <w:i w:val="0"/>
          <w:color w:val="000000"/>
          <w:sz w:val="20"/>
          <w:szCs w:val="20"/>
        </w:rPr>
        <w:t>V - mesmo nível de escolaridade, especialidade ou habilitação profissional;</w:t>
      </w:r>
    </w:p>
    <w:p w:rsidR="00F56152" w:rsidRPr="00A03FB7" w:rsidRDefault="00F56152" w:rsidP="00F56152">
      <w:pPr>
        <w:pStyle w:val="NormalWeb"/>
        <w:shd w:val="clear" w:color="auto" w:fill="FFFFFF"/>
        <w:spacing w:before="0" w:beforeAutospacing="0" w:after="0" w:afterAutospacing="0" w:line="360" w:lineRule="auto"/>
        <w:jc w:val="both"/>
        <w:rPr>
          <w:rFonts w:ascii="Arial" w:hAnsi="Arial" w:cs="Arial"/>
          <w:i/>
          <w:color w:val="000000"/>
          <w:sz w:val="20"/>
          <w:szCs w:val="20"/>
        </w:rPr>
      </w:pPr>
      <w:r w:rsidRPr="00A03FB7">
        <w:rPr>
          <w:rStyle w:val="nfase"/>
          <w:rFonts w:ascii="Arial" w:hAnsi="Arial" w:cs="Arial"/>
          <w:i w:val="0"/>
          <w:color w:val="000000"/>
          <w:sz w:val="20"/>
          <w:szCs w:val="20"/>
        </w:rPr>
        <w:t>VI - compatibilidade entre as atribuições do cargo e as finalidades institucionais do órgão ou entidade.</w:t>
      </w:r>
    </w:p>
    <w:p w:rsidR="00E876BC" w:rsidRPr="00A03FB7" w:rsidRDefault="00E876BC" w:rsidP="00E876BC">
      <w:pPr>
        <w:spacing w:line="360" w:lineRule="auto"/>
        <w:jc w:val="both"/>
        <w:rPr>
          <w:rFonts w:ascii="Arial" w:hAnsi="Arial" w:cs="Arial"/>
          <w:color w:val="000000"/>
          <w:shd w:val="clear" w:color="auto" w:fill="FFFFFF"/>
        </w:rPr>
      </w:pPr>
    </w:p>
    <w:p w:rsidR="00E876BC" w:rsidRPr="00A03FB7" w:rsidRDefault="00E876BC" w:rsidP="00E876BC">
      <w:pPr>
        <w:spacing w:line="360" w:lineRule="auto"/>
        <w:jc w:val="both"/>
        <w:rPr>
          <w:rFonts w:ascii="Arial" w:hAnsi="Arial" w:cs="Arial"/>
          <w:b/>
          <w:bCs/>
          <w:caps/>
          <w:color w:val="333333"/>
          <w:shd w:val="clear" w:color="auto" w:fill="FFFFFF"/>
        </w:rPr>
      </w:pPr>
      <w:r w:rsidRPr="00A03FB7">
        <w:rPr>
          <w:rFonts w:ascii="Arial" w:hAnsi="Arial" w:cs="Arial"/>
          <w:b/>
          <w:bCs/>
          <w:caps/>
          <w:color w:val="333333"/>
          <w:shd w:val="clear" w:color="auto" w:fill="FFFFFF"/>
        </w:rPr>
        <w:t>REQUISITOS BÁSICOS:</w:t>
      </w:r>
    </w:p>
    <w:p w:rsidR="00C54BCD" w:rsidRPr="00A03FB7" w:rsidRDefault="00F56152" w:rsidP="00C54BCD">
      <w:pPr>
        <w:pStyle w:val="NormalWeb"/>
        <w:numPr>
          <w:ilvl w:val="0"/>
          <w:numId w:val="9"/>
        </w:numPr>
        <w:shd w:val="clear" w:color="auto" w:fill="FFFFFF"/>
        <w:spacing w:line="300" w:lineRule="atLeast"/>
        <w:jc w:val="both"/>
        <w:rPr>
          <w:rFonts w:ascii="Arial" w:hAnsi="Arial" w:cs="Arial"/>
          <w:color w:val="333333"/>
          <w:sz w:val="20"/>
          <w:szCs w:val="20"/>
        </w:rPr>
      </w:pPr>
      <w:r w:rsidRPr="00A03FB7">
        <w:rPr>
          <w:rFonts w:ascii="Arial" w:hAnsi="Arial" w:cs="Arial"/>
          <w:color w:val="000000"/>
          <w:sz w:val="20"/>
          <w:szCs w:val="20"/>
        </w:rPr>
        <w:t>Estrito interesse da Administração</w:t>
      </w:r>
      <w:r w:rsidR="00C54BCD" w:rsidRPr="00A03FB7">
        <w:rPr>
          <w:rFonts w:ascii="Arial" w:hAnsi="Arial" w:cs="Arial"/>
          <w:color w:val="000000"/>
          <w:sz w:val="20"/>
          <w:szCs w:val="20"/>
        </w:rPr>
        <w:t>;</w:t>
      </w:r>
    </w:p>
    <w:p w:rsidR="00C54BCD" w:rsidRPr="00A03FB7" w:rsidRDefault="00C54BCD" w:rsidP="00C54BCD">
      <w:pPr>
        <w:pStyle w:val="NormalWeb"/>
        <w:numPr>
          <w:ilvl w:val="0"/>
          <w:numId w:val="9"/>
        </w:numPr>
        <w:shd w:val="clear" w:color="auto" w:fill="FFFFFF"/>
        <w:spacing w:line="300" w:lineRule="atLeast"/>
        <w:jc w:val="both"/>
        <w:rPr>
          <w:rFonts w:ascii="Arial" w:hAnsi="Arial" w:cs="Arial"/>
          <w:color w:val="333333"/>
          <w:sz w:val="20"/>
          <w:szCs w:val="20"/>
        </w:rPr>
      </w:pPr>
      <w:r w:rsidRPr="00C54BCD">
        <w:rPr>
          <w:rFonts w:ascii="Arial" w:hAnsi="Arial" w:cs="Arial"/>
          <w:color w:val="333333"/>
          <w:sz w:val="20"/>
          <w:szCs w:val="20"/>
        </w:rPr>
        <w:t>Existência de cargo efetivo vago ou ocupado, para dar em contrapartida;</w:t>
      </w:r>
    </w:p>
    <w:p w:rsidR="00C54BCD" w:rsidRPr="00C54BCD" w:rsidRDefault="00C54BCD" w:rsidP="00C54BCD">
      <w:pPr>
        <w:numPr>
          <w:ilvl w:val="0"/>
          <w:numId w:val="9"/>
        </w:numPr>
        <w:shd w:val="clear" w:color="auto" w:fill="FFFFFF"/>
        <w:spacing w:before="100" w:beforeAutospacing="1" w:after="100" w:afterAutospacing="1" w:line="300" w:lineRule="atLeast"/>
        <w:jc w:val="both"/>
        <w:rPr>
          <w:rFonts w:ascii="Arial" w:hAnsi="Arial" w:cs="Arial"/>
          <w:color w:val="333333"/>
        </w:rPr>
      </w:pPr>
      <w:r w:rsidRPr="00C54BCD">
        <w:rPr>
          <w:rFonts w:ascii="Arial" w:hAnsi="Arial" w:cs="Arial"/>
          <w:color w:val="333333"/>
        </w:rPr>
        <w:t>Equivalência de vencimentos;</w:t>
      </w:r>
    </w:p>
    <w:p w:rsidR="00C54BCD" w:rsidRPr="00C54BCD" w:rsidRDefault="00C54BCD" w:rsidP="00C54BCD">
      <w:pPr>
        <w:numPr>
          <w:ilvl w:val="0"/>
          <w:numId w:val="9"/>
        </w:numPr>
        <w:shd w:val="clear" w:color="auto" w:fill="FFFFFF"/>
        <w:spacing w:before="100" w:beforeAutospacing="1" w:after="100" w:afterAutospacing="1" w:line="300" w:lineRule="atLeast"/>
        <w:jc w:val="both"/>
        <w:rPr>
          <w:rFonts w:ascii="Arial" w:hAnsi="Arial" w:cs="Arial"/>
          <w:color w:val="333333"/>
        </w:rPr>
      </w:pPr>
      <w:r w:rsidRPr="00C54BCD">
        <w:rPr>
          <w:rFonts w:ascii="Arial" w:hAnsi="Arial" w:cs="Arial"/>
          <w:color w:val="333333"/>
        </w:rPr>
        <w:t>Manutenção da essência das atribuições do cargo;</w:t>
      </w:r>
    </w:p>
    <w:p w:rsidR="00C54BCD" w:rsidRPr="00C54BCD" w:rsidRDefault="00C54BCD" w:rsidP="00C54BCD">
      <w:pPr>
        <w:numPr>
          <w:ilvl w:val="0"/>
          <w:numId w:val="9"/>
        </w:numPr>
        <w:shd w:val="clear" w:color="auto" w:fill="FFFFFF"/>
        <w:spacing w:before="100" w:beforeAutospacing="1" w:after="100" w:afterAutospacing="1" w:line="300" w:lineRule="atLeast"/>
        <w:jc w:val="both"/>
        <w:rPr>
          <w:rFonts w:ascii="Arial" w:hAnsi="Arial" w:cs="Arial"/>
          <w:color w:val="333333"/>
        </w:rPr>
      </w:pPr>
      <w:r w:rsidRPr="00C54BCD">
        <w:rPr>
          <w:rFonts w:ascii="Arial" w:hAnsi="Arial" w:cs="Arial"/>
          <w:color w:val="333333"/>
        </w:rPr>
        <w:t>Vinculação entre os graus de responsabilidade e complexidade das atividades;</w:t>
      </w:r>
    </w:p>
    <w:p w:rsidR="00C54BCD" w:rsidRPr="00C54BCD" w:rsidRDefault="00C54BCD" w:rsidP="00C54BCD">
      <w:pPr>
        <w:numPr>
          <w:ilvl w:val="0"/>
          <w:numId w:val="9"/>
        </w:numPr>
        <w:shd w:val="clear" w:color="auto" w:fill="FFFFFF"/>
        <w:spacing w:before="100" w:beforeAutospacing="1" w:after="100" w:afterAutospacing="1" w:line="300" w:lineRule="atLeast"/>
        <w:jc w:val="both"/>
        <w:rPr>
          <w:rFonts w:ascii="Arial" w:hAnsi="Arial" w:cs="Arial"/>
          <w:color w:val="333333"/>
        </w:rPr>
      </w:pPr>
      <w:r w:rsidRPr="00C54BCD">
        <w:rPr>
          <w:rFonts w:ascii="Arial" w:hAnsi="Arial" w:cs="Arial"/>
          <w:color w:val="333333"/>
        </w:rPr>
        <w:t>Mesmo nível de escolaridade, especialidade ou habilitação profissional;</w:t>
      </w:r>
    </w:p>
    <w:p w:rsidR="00C54BCD" w:rsidRPr="00C54BCD" w:rsidRDefault="00C54BCD" w:rsidP="00C54BCD">
      <w:pPr>
        <w:numPr>
          <w:ilvl w:val="0"/>
          <w:numId w:val="9"/>
        </w:numPr>
        <w:shd w:val="clear" w:color="auto" w:fill="FFFFFF"/>
        <w:spacing w:before="100" w:beforeAutospacing="1" w:after="100" w:afterAutospacing="1" w:line="300" w:lineRule="atLeast"/>
        <w:jc w:val="both"/>
        <w:rPr>
          <w:rFonts w:ascii="Arial" w:hAnsi="Arial" w:cs="Arial"/>
          <w:color w:val="333333"/>
        </w:rPr>
      </w:pPr>
      <w:r w:rsidRPr="00C54BCD">
        <w:rPr>
          <w:rFonts w:ascii="Arial" w:hAnsi="Arial" w:cs="Arial"/>
          <w:color w:val="333333"/>
        </w:rPr>
        <w:t>Compatibilidade entre as atribuições do cargo e as finalidades institucionais do órgão ou entidade;</w:t>
      </w:r>
    </w:p>
    <w:p w:rsidR="00C54BCD" w:rsidRPr="00A03FB7" w:rsidRDefault="00C54BCD" w:rsidP="00C54BCD">
      <w:pPr>
        <w:pStyle w:val="NormalWeb"/>
        <w:numPr>
          <w:ilvl w:val="0"/>
          <w:numId w:val="9"/>
        </w:numPr>
        <w:shd w:val="clear" w:color="auto" w:fill="FFFFFF"/>
        <w:spacing w:before="0" w:beforeAutospacing="0" w:after="240" w:afterAutospacing="0"/>
        <w:jc w:val="both"/>
        <w:rPr>
          <w:rFonts w:ascii="Arial" w:hAnsi="Arial" w:cs="Arial"/>
          <w:color w:val="000000"/>
          <w:sz w:val="20"/>
          <w:szCs w:val="20"/>
        </w:rPr>
      </w:pPr>
      <w:r w:rsidRPr="00A03FB7">
        <w:rPr>
          <w:rFonts w:ascii="Arial" w:hAnsi="Arial" w:cs="Arial"/>
          <w:color w:val="000000"/>
          <w:sz w:val="20"/>
          <w:szCs w:val="20"/>
        </w:rPr>
        <w:t>Aprovação do órgão Central de Sistema de Pessoal Civil (SIPEC)</w:t>
      </w:r>
    </w:p>
    <w:p w:rsidR="00E876BC" w:rsidRPr="00A03FB7" w:rsidRDefault="00E876BC" w:rsidP="00E876BC">
      <w:pPr>
        <w:spacing w:line="360" w:lineRule="auto"/>
        <w:jc w:val="both"/>
        <w:rPr>
          <w:rFonts w:ascii="Arial" w:hAnsi="Arial" w:cs="Arial"/>
        </w:rPr>
      </w:pPr>
    </w:p>
    <w:p w:rsidR="00E876BC" w:rsidRPr="00A03FB7" w:rsidRDefault="00E876BC" w:rsidP="00E876BC">
      <w:pPr>
        <w:spacing w:line="360" w:lineRule="auto"/>
        <w:jc w:val="both"/>
        <w:rPr>
          <w:rFonts w:ascii="Arial" w:hAnsi="Arial" w:cs="Arial"/>
          <w:b/>
        </w:rPr>
      </w:pPr>
      <w:r w:rsidRPr="00A03FB7">
        <w:rPr>
          <w:rFonts w:ascii="Arial" w:hAnsi="Arial" w:cs="Arial"/>
          <w:b/>
        </w:rPr>
        <w:t>INFORMAÇÕES GERAIS</w:t>
      </w:r>
    </w:p>
    <w:p w:rsidR="00E876BC" w:rsidRPr="00A03FB7" w:rsidRDefault="00E876BC" w:rsidP="00E876BC">
      <w:pPr>
        <w:pStyle w:val="NormalWeb"/>
        <w:shd w:val="clear" w:color="auto" w:fill="FFFFFF"/>
        <w:spacing w:before="0" w:beforeAutospacing="0" w:after="0" w:afterAutospacing="0"/>
        <w:ind w:left="720"/>
        <w:rPr>
          <w:rFonts w:ascii="Arial" w:hAnsi="Arial" w:cs="Arial"/>
          <w:color w:val="000000"/>
          <w:sz w:val="20"/>
          <w:szCs w:val="20"/>
        </w:rPr>
      </w:pPr>
    </w:p>
    <w:p w:rsidR="00F56152" w:rsidRPr="00A03FB7" w:rsidRDefault="00F56152" w:rsidP="00C54BCD">
      <w:pPr>
        <w:pStyle w:val="NormalWeb"/>
        <w:numPr>
          <w:ilvl w:val="0"/>
          <w:numId w:val="6"/>
        </w:numPr>
        <w:shd w:val="clear" w:color="auto" w:fill="FFFFFF"/>
        <w:spacing w:before="0" w:beforeAutospacing="0" w:after="240" w:afterAutospacing="0"/>
        <w:jc w:val="both"/>
        <w:rPr>
          <w:rFonts w:ascii="Arial" w:hAnsi="Arial" w:cs="Arial"/>
          <w:color w:val="000000"/>
          <w:sz w:val="20"/>
          <w:szCs w:val="20"/>
        </w:rPr>
      </w:pPr>
      <w:r w:rsidRPr="00A03FB7">
        <w:rPr>
          <w:rFonts w:ascii="Arial" w:hAnsi="Arial" w:cs="Arial"/>
          <w:color w:val="000000"/>
          <w:sz w:val="20"/>
          <w:szCs w:val="20"/>
        </w:rPr>
        <w:t>A redistribuição ocorre em casos excepcionais, sendo a realização de concursos públicos a forma prioritária de ingresso na Universidade Federal Rural de Pernambuco.</w:t>
      </w:r>
    </w:p>
    <w:p w:rsidR="00F56152" w:rsidRPr="00A03FB7" w:rsidRDefault="00F56152" w:rsidP="00C54BCD">
      <w:pPr>
        <w:pStyle w:val="NormalWeb"/>
        <w:numPr>
          <w:ilvl w:val="0"/>
          <w:numId w:val="6"/>
        </w:numPr>
        <w:shd w:val="clear" w:color="auto" w:fill="FFFFFF"/>
        <w:spacing w:before="0" w:beforeAutospacing="0" w:after="240" w:afterAutospacing="0"/>
        <w:jc w:val="both"/>
        <w:rPr>
          <w:rFonts w:ascii="Arial" w:hAnsi="Arial" w:cs="Arial"/>
          <w:color w:val="000000"/>
          <w:sz w:val="20"/>
          <w:szCs w:val="20"/>
        </w:rPr>
      </w:pPr>
      <w:r w:rsidRPr="00A03FB7">
        <w:rPr>
          <w:rFonts w:ascii="Arial" w:hAnsi="Arial" w:cs="Arial"/>
          <w:color w:val="000000"/>
          <w:sz w:val="20"/>
          <w:szCs w:val="20"/>
        </w:rPr>
        <w:t>Em caso de haver concurso válido com banco de aprovados, torna-se inviável a redistribuição de servidores de outra IFE para a UFRPE, por código de vaga desocupado.</w:t>
      </w:r>
    </w:p>
    <w:p w:rsidR="00E050CB" w:rsidRPr="00A03FB7" w:rsidRDefault="00E050CB" w:rsidP="00E050CB">
      <w:pPr>
        <w:numPr>
          <w:ilvl w:val="0"/>
          <w:numId w:val="11"/>
        </w:numPr>
        <w:shd w:val="clear" w:color="auto" w:fill="FFFFFF"/>
        <w:spacing w:before="100" w:beforeAutospacing="1" w:after="100" w:afterAutospacing="1" w:line="300" w:lineRule="atLeast"/>
        <w:jc w:val="both"/>
        <w:rPr>
          <w:rFonts w:ascii="Arial" w:hAnsi="Arial" w:cs="Arial"/>
          <w:color w:val="333333"/>
        </w:rPr>
      </w:pPr>
      <w:r w:rsidRPr="00C54BCD">
        <w:rPr>
          <w:rFonts w:ascii="Arial" w:hAnsi="Arial" w:cs="Arial"/>
          <w:color w:val="333333"/>
        </w:rPr>
        <w:t xml:space="preserve">A redistribuição de cargos ocupados ou vagos somente poderá ser efetivada, se </w:t>
      </w:r>
      <w:proofErr w:type="gramStart"/>
      <w:r w:rsidRPr="00C54BCD">
        <w:rPr>
          <w:rFonts w:ascii="Arial" w:hAnsi="Arial" w:cs="Arial"/>
          <w:color w:val="333333"/>
        </w:rPr>
        <w:t>houver,</w:t>
      </w:r>
      <w:proofErr w:type="gramEnd"/>
      <w:r w:rsidRPr="00C54BCD">
        <w:rPr>
          <w:rFonts w:ascii="Arial" w:hAnsi="Arial" w:cs="Arial"/>
          <w:color w:val="333333"/>
        </w:rPr>
        <w:t xml:space="preserve"> como contrapartida a redistribuição de um cargo efetivo, ocupado ou vago, do mesmo nível de escolaridade;</w:t>
      </w:r>
      <w:r w:rsidRPr="00A03FB7">
        <w:rPr>
          <w:rFonts w:ascii="Arial" w:hAnsi="Arial" w:cs="Arial"/>
          <w:color w:val="333333"/>
        </w:rPr>
        <w:t xml:space="preserve"> </w:t>
      </w:r>
    </w:p>
    <w:p w:rsidR="00E050CB" w:rsidRPr="00C54BCD" w:rsidRDefault="00E050CB" w:rsidP="00E050CB">
      <w:pPr>
        <w:numPr>
          <w:ilvl w:val="0"/>
          <w:numId w:val="11"/>
        </w:numPr>
        <w:shd w:val="clear" w:color="auto" w:fill="FFFFFF"/>
        <w:spacing w:before="100" w:beforeAutospacing="1" w:after="100" w:afterAutospacing="1" w:line="300" w:lineRule="atLeast"/>
        <w:jc w:val="both"/>
        <w:rPr>
          <w:rFonts w:ascii="Arial" w:hAnsi="Arial" w:cs="Arial"/>
          <w:color w:val="333333"/>
        </w:rPr>
      </w:pPr>
      <w:r w:rsidRPr="00C54BCD">
        <w:rPr>
          <w:rFonts w:ascii="Arial" w:hAnsi="Arial" w:cs="Arial"/>
          <w:color w:val="333333"/>
        </w:rPr>
        <w:t xml:space="preserve">O cargo a ser redistribuído tem que ser </w:t>
      </w:r>
      <w:proofErr w:type="gramStart"/>
      <w:r w:rsidRPr="00C54BCD">
        <w:rPr>
          <w:rFonts w:ascii="Arial" w:hAnsi="Arial" w:cs="Arial"/>
          <w:color w:val="333333"/>
        </w:rPr>
        <w:t>compatível com a essência, complexidade e responsabilidade relativas</w:t>
      </w:r>
      <w:proofErr w:type="gramEnd"/>
      <w:r w:rsidRPr="00C54BCD">
        <w:rPr>
          <w:rFonts w:ascii="Arial" w:hAnsi="Arial" w:cs="Arial"/>
          <w:color w:val="333333"/>
        </w:rPr>
        <w:t xml:space="preserve"> às atividades e finalidades institucionais, e com os planos de cargos e salários do órgão ou entidade que irá recebê-lo;</w:t>
      </w:r>
    </w:p>
    <w:p w:rsidR="00F56152" w:rsidRPr="00A03FB7" w:rsidRDefault="00F56152" w:rsidP="00C54BCD">
      <w:pPr>
        <w:pStyle w:val="NormalWeb"/>
        <w:numPr>
          <w:ilvl w:val="0"/>
          <w:numId w:val="6"/>
        </w:numPr>
        <w:shd w:val="clear" w:color="auto" w:fill="FFFFFF"/>
        <w:spacing w:before="0" w:beforeAutospacing="0" w:after="240" w:afterAutospacing="0"/>
        <w:jc w:val="both"/>
        <w:rPr>
          <w:rFonts w:ascii="Arial" w:hAnsi="Arial" w:cs="Arial"/>
          <w:color w:val="000000"/>
          <w:sz w:val="20"/>
          <w:szCs w:val="20"/>
        </w:rPr>
      </w:pPr>
      <w:r w:rsidRPr="00A03FB7">
        <w:rPr>
          <w:rFonts w:ascii="Arial" w:hAnsi="Arial" w:cs="Arial"/>
          <w:color w:val="000000"/>
          <w:sz w:val="20"/>
          <w:szCs w:val="20"/>
        </w:rPr>
        <w:t>Em caso de servidores da UFRPE interessados em serem redistribuídos para outra IFE, a redistribuição poderá ser realizada por código de vaga desocupado.</w:t>
      </w:r>
    </w:p>
    <w:p w:rsidR="00F56152" w:rsidRPr="00A03FB7" w:rsidRDefault="00F56152" w:rsidP="00C54BCD">
      <w:pPr>
        <w:pStyle w:val="NormalWeb"/>
        <w:numPr>
          <w:ilvl w:val="0"/>
          <w:numId w:val="6"/>
        </w:numPr>
        <w:shd w:val="clear" w:color="auto" w:fill="FFFFFF"/>
        <w:spacing w:before="0" w:beforeAutospacing="0" w:after="240" w:afterAutospacing="0"/>
        <w:jc w:val="both"/>
        <w:rPr>
          <w:rFonts w:ascii="Arial" w:hAnsi="Arial" w:cs="Arial"/>
          <w:color w:val="000000"/>
          <w:sz w:val="20"/>
          <w:szCs w:val="20"/>
        </w:rPr>
      </w:pPr>
      <w:r w:rsidRPr="00A03FB7">
        <w:rPr>
          <w:rFonts w:ascii="Arial" w:hAnsi="Arial" w:cs="Arial"/>
          <w:color w:val="000000"/>
          <w:sz w:val="20"/>
          <w:szCs w:val="20"/>
        </w:rPr>
        <w:t>O processo de redistribuição será encaminhado ao MEC, o qual é responsável pela aprovação e publicação da Portaria no Diário Oficial da União.</w:t>
      </w:r>
    </w:p>
    <w:p w:rsidR="00F56152" w:rsidRPr="00A03FB7" w:rsidRDefault="00F56152" w:rsidP="00C54BCD">
      <w:pPr>
        <w:pStyle w:val="NormalWeb"/>
        <w:numPr>
          <w:ilvl w:val="0"/>
          <w:numId w:val="6"/>
        </w:numPr>
        <w:shd w:val="clear" w:color="auto" w:fill="FFFFFF"/>
        <w:spacing w:before="0" w:beforeAutospacing="0" w:after="240" w:afterAutospacing="0"/>
        <w:jc w:val="both"/>
        <w:rPr>
          <w:rFonts w:ascii="Arial" w:hAnsi="Arial" w:cs="Arial"/>
          <w:color w:val="000000"/>
          <w:sz w:val="20"/>
          <w:szCs w:val="20"/>
        </w:rPr>
      </w:pPr>
      <w:r w:rsidRPr="00A03FB7">
        <w:rPr>
          <w:rFonts w:ascii="Arial" w:hAnsi="Arial" w:cs="Arial"/>
          <w:color w:val="000000"/>
          <w:sz w:val="20"/>
          <w:szCs w:val="20"/>
        </w:rPr>
        <w:lastRenderedPageBreak/>
        <w:t>O servidor redistribuído que deva ter exercício em outro município terá, no mínimo, 10 (dez) e, no máximo, 30 (trinta) dias, contados da publicação do ato de redistribuição no Diário Oficial da União, para entrar em exercício, incluído neste prazo o tempo necessário ao deslocamento para a nova sede. Este prazo será considerado de efetivo exercício, contando-se para todos os fins.</w:t>
      </w:r>
    </w:p>
    <w:p w:rsidR="00F56152" w:rsidRPr="00A03FB7" w:rsidRDefault="00F56152" w:rsidP="00C54BCD">
      <w:pPr>
        <w:pStyle w:val="NormalWeb"/>
        <w:numPr>
          <w:ilvl w:val="0"/>
          <w:numId w:val="6"/>
        </w:numPr>
        <w:shd w:val="clear" w:color="auto" w:fill="FFFFFF"/>
        <w:spacing w:before="0" w:beforeAutospacing="0" w:after="240" w:afterAutospacing="0"/>
        <w:jc w:val="both"/>
        <w:rPr>
          <w:rFonts w:ascii="Arial" w:hAnsi="Arial" w:cs="Arial"/>
          <w:color w:val="000000"/>
          <w:sz w:val="20"/>
          <w:szCs w:val="20"/>
        </w:rPr>
      </w:pPr>
      <w:r w:rsidRPr="00A03FB7">
        <w:rPr>
          <w:rFonts w:ascii="Arial" w:hAnsi="Arial" w:cs="Arial"/>
          <w:color w:val="000000"/>
          <w:sz w:val="20"/>
          <w:szCs w:val="20"/>
        </w:rPr>
        <w:t>Na hipótese de o servidor encontrar-se em licença ou afastado legalmente, o prazo a que se refere o item anterior será contado a partir do término do impedimento.</w:t>
      </w:r>
    </w:p>
    <w:p w:rsidR="00C54BCD" w:rsidRPr="00A03FB7" w:rsidRDefault="00C54BCD" w:rsidP="00E050CB">
      <w:pPr>
        <w:pStyle w:val="NormalWeb"/>
        <w:numPr>
          <w:ilvl w:val="0"/>
          <w:numId w:val="6"/>
        </w:numPr>
        <w:shd w:val="clear" w:color="auto" w:fill="FFFFFF"/>
        <w:spacing w:before="0" w:beforeAutospacing="0" w:after="240" w:afterAutospacing="0"/>
        <w:jc w:val="both"/>
        <w:rPr>
          <w:rFonts w:ascii="Arial" w:hAnsi="Arial" w:cs="Arial"/>
          <w:sz w:val="20"/>
          <w:szCs w:val="20"/>
        </w:rPr>
      </w:pPr>
      <w:r w:rsidRPr="00A03FB7">
        <w:rPr>
          <w:rFonts w:ascii="Arial" w:hAnsi="Arial" w:cs="Arial"/>
          <w:sz w:val="20"/>
          <w:szCs w:val="20"/>
        </w:rPr>
        <w:t xml:space="preserve">O servidor redistribuído terá assegurado todos os direitos e vantagens a que fazia jus na IFE de origem. </w:t>
      </w:r>
    </w:p>
    <w:p w:rsidR="00C54BCD" w:rsidRPr="00A03FB7" w:rsidRDefault="00C54BCD" w:rsidP="00F56152">
      <w:pPr>
        <w:pStyle w:val="NormalWeb"/>
        <w:shd w:val="clear" w:color="auto" w:fill="FFFFFF"/>
        <w:spacing w:before="0" w:beforeAutospacing="0" w:after="240" w:afterAutospacing="0"/>
        <w:jc w:val="both"/>
        <w:rPr>
          <w:rFonts w:ascii="Arial" w:hAnsi="Arial" w:cs="Arial"/>
          <w:sz w:val="20"/>
          <w:szCs w:val="20"/>
        </w:rPr>
      </w:pPr>
      <w:r w:rsidRPr="00A03FB7">
        <w:rPr>
          <w:rFonts w:ascii="Arial" w:hAnsi="Arial" w:cs="Arial"/>
          <w:sz w:val="20"/>
          <w:szCs w:val="20"/>
        </w:rPr>
        <w:sym w:font="Symbol" w:char="F0B7"/>
      </w:r>
      <w:r w:rsidRPr="00A03FB7">
        <w:rPr>
          <w:rFonts w:ascii="Arial" w:hAnsi="Arial" w:cs="Arial"/>
          <w:sz w:val="20"/>
          <w:szCs w:val="20"/>
        </w:rPr>
        <w:t xml:space="preserve"> Na redistribuição, não poderá implicar aumento de despesas, exceto as relacionadas com ajuda de custo, quando couber. Por vencimento, deverá ser utilizado o conceito definido no inciso II do art. 10 da Lei 8.852/94: “vencimento é a soma do vencimento básico com as vantagens permanentes relativas ao cargo, emprego, posto ou graduação”. </w:t>
      </w:r>
    </w:p>
    <w:p w:rsidR="00C54BCD" w:rsidRPr="00A03FB7" w:rsidRDefault="00C54BCD" w:rsidP="00F56152">
      <w:pPr>
        <w:pStyle w:val="NormalWeb"/>
        <w:shd w:val="clear" w:color="auto" w:fill="FFFFFF"/>
        <w:spacing w:before="0" w:beforeAutospacing="0" w:after="240" w:afterAutospacing="0"/>
        <w:jc w:val="both"/>
        <w:rPr>
          <w:rFonts w:ascii="Arial" w:hAnsi="Arial" w:cs="Arial"/>
          <w:sz w:val="20"/>
          <w:szCs w:val="20"/>
        </w:rPr>
      </w:pPr>
      <w:r w:rsidRPr="00A03FB7">
        <w:rPr>
          <w:rFonts w:ascii="Arial" w:hAnsi="Arial" w:cs="Arial"/>
          <w:sz w:val="20"/>
          <w:szCs w:val="20"/>
        </w:rPr>
        <w:sym w:font="Symbol" w:char="F0B7"/>
      </w:r>
      <w:r w:rsidRPr="00A03FB7">
        <w:rPr>
          <w:rFonts w:ascii="Arial" w:hAnsi="Arial" w:cs="Arial"/>
          <w:sz w:val="20"/>
          <w:szCs w:val="20"/>
        </w:rPr>
        <w:t xml:space="preserve"> Quando a redistribuição resultar mudança de sede, o servidor, seu cônjuge ou companheiro, seus filhos ou enteados que vivam em sua companhia e os menores sob sua guarda com autorização judicial, se estudantes, têm assegurada, na localidade da nova residência ou na mais próxima, matrícula em instituição de ensino congênere, em qualquer época, independentemente de vaga.</w:t>
      </w:r>
    </w:p>
    <w:p w:rsidR="00C54BCD" w:rsidRPr="00A03FB7" w:rsidRDefault="00C54BCD" w:rsidP="00F56152">
      <w:pPr>
        <w:pStyle w:val="NormalWeb"/>
        <w:shd w:val="clear" w:color="auto" w:fill="FFFFFF"/>
        <w:spacing w:before="0" w:beforeAutospacing="0" w:after="240" w:afterAutospacing="0"/>
        <w:jc w:val="both"/>
        <w:rPr>
          <w:rFonts w:ascii="Arial" w:hAnsi="Arial" w:cs="Arial"/>
          <w:sz w:val="20"/>
          <w:szCs w:val="20"/>
        </w:rPr>
      </w:pPr>
      <w:r w:rsidRPr="00A03FB7">
        <w:rPr>
          <w:rFonts w:ascii="Arial" w:hAnsi="Arial" w:cs="Arial"/>
          <w:sz w:val="20"/>
          <w:szCs w:val="20"/>
        </w:rPr>
        <w:sym w:font="Symbol" w:char="F0B7"/>
      </w:r>
      <w:r w:rsidRPr="00A03FB7">
        <w:rPr>
          <w:rFonts w:ascii="Arial" w:hAnsi="Arial" w:cs="Arial"/>
          <w:sz w:val="20"/>
          <w:szCs w:val="20"/>
        </w:rPr>
        <w:t xml:space="preserve"> Nos casos em que a mudança de sede obrigar o servidor a mudar de domicílio em caráter permanente, terá direito a ajuda de custo para compensar as despesas de instalação. </w:t>
      </w:r>
    </w:p>
    <w:p w:rsidR="00C54BCD" w:rsidRPr="00A03FB7" w:rsidRDefault="00C54BCD" w:rsidP="00F56152">
      <w:pPr>
        <w:pStyle w:val="NormalWeb"/>
        <w:shd w:val="clear" w:color="auto" w:fill="FFFFFF"/>
        <w:spacing w:before="0" w:beforeAutospacing="0" w:after="240" w:afterAutospacing="0"/>
        <w:jc w:val="both"/>
        <w:rPr>
          <w:rFonts w:ascii="Arial" w:hAnsi="Arial" w:cs="Arial"/>
          <w:sz w:val="20"/>
          <w:szCs w:val="20"/>
        </w:rPr>
      </w:pPr>
      <w:r w:rsidRPr="00A03FB7">
        <w:rPr>
          <w:rFonts w:ascii="Arial" w:hAnsi="Arial" w:cs="Arial"/>
          <w:sz w:val="20"/>
          <w:szCs w:val="20"/>
        </w:rPr>
        <w:sym w:font="Symbol" w:char="F0B7"/>
      </w:r>
      <w:r w:rsidRPr="00A03FB7">
        <w:rPr>
          <w:rFonts w:ascii="Arial" w:hAnsi="Arial" w:cs="Arial"/>
          <w:sz w:val="20"/>
          <w:szCs w:val="20"/>
        </w:rPr>
        <w:t xml:space="preserve"> Considera-se sede o município onde estava instalada a repartição em que o servidor tinha exercício em caráter permanente. </w:t>
      </w:r>
    </w:p>
    <w:p w:rsidR="00C54BCD" w:rsidRPr="00A03FB7" w:rsidRDefault="00C54BCD" w:rsidP="00F56152">
      <w:pPr>
        <w:pStyle w:val="NormalWeb"/>
        <w:shd w:val="clear" w:color="auto" w:fill="FFFFFF"/>
        <w:spacing w:before="0" w:beforeAutospacing="0" w:after="240" w:afterAutospacing="0"/>
        <w:jc w:val="both"/>
        <w:rPr>
          <w:rFonts w:ascii="Arial" w:hAnsi="Arial" w:cs="Arial"/>
          <w:color w:val="000000"/>
          <w:sz w:val="20"/>
          <w:szCs w:val="20"/>
        </w:rPr>
      </w:pPr>
      <w:r w:rsidRPr="00A03FB7">
        <w:rPr>
          <w:rFonts w:ascii="Arial" w:hAnsi="Arial" w:cs="Arial"/>
          <w:sz w:val="20"/>
          <w:szCs w:val="20"/>
        </w:rPr>
        <w:sym w:font="Symbol" w:char="F0B7"/>
      </w:r>
      <w:r w:rsidRPr="00A03FB7">
        <w:rPr>
          <w:rFonts w:ascii="Arial" w:hAnsi="Arial" w:cs="Arial"/>
          <w:sz w:val="20"/>
          <w:szCs w:val="20"/>
        </w:rPr>
        <w:t xml:space="preserve"> O órgão que receber o servidor redistribuído poderá submetê-lo a treinamento, com vistas à sua adequação às atividades peculiares do cargo e da Instituição.</w:t>
      </w:r>
    </w:p>
    <w:p w:rsidR="00F56152" w:rsidRPr="00A03FB7" w:rsidRDefault="00F56152" w:rsidP="00E876BC">
      <w:pPr>
        <w:spacing w:line="360" w:lineRule="auto"/>
        <w:jc w:val="both"/>
        <w:rPr>
          <w:rFonts w:ascii="Arial" w:hAnsi="Arial" w:cs="Arial"/>
          <w:b/>
        </w:rPr>
      </w:pPr>
    </w:p>
    <w:p w:rsidR="00E876BC" w:rsidRPr="00A03FB7" w:rsidRDefault="00E876BC" w:rsidP="00E876BC">
      <w:pPr>
        <w:pStyle w:val="NormalWeb"/>
        <w:shd w:val="clear" w:color="auto" w:fill="FFFFFF"/>
        <w:spacing w:before="0" w:beforeAutospacing="0" w:after="0" w:afterAutospacing="0"/>
        <w:jc w:val="both"/>
        <w:rPr>
          <w:rFonts w:ascii="Arial" w:hAnsi="Arial" w:cs="Arial"/>
          <w:b/>
          <w:bCs/>
          <w:color w:val="000000"/>
          <w:sz w:val="20"/>
          <w:szCs w:val="20"/>
        </w:rPr>
      </w:pPr>
      <w:r w:rsidRPr="00A03FB7">
        <w:rPr>
          <w:rFonts w:ascii="Arial" w:hAnsi="Arial" w:cs="Arial"/>
          <w:b/>
          <w:bCs/>
          <w:color w:val="000000"/>
          <w:sz w:val="20"/>
          <w:szCs w:val="20"/>
        </w:rPr>
        <w:t>PREVISÃO LEGAL:</w:t>
      </w:r>
    </w:p>
    <w:p w:rsidR="00E876BC" w:rsidRPr="00A03FB7" w:rsidRDefault="00E876BC" w:rsidP="00E876BC">
      <w:pPr>
        <w:pStyle w:val="NormalWeb"/>
        <w:shd w:val="clear" w:color="auto" w:fill="FFFFFF"/>
        <w:spacing w:before="0" w:beforeAutospacing="0" w:after="0" w:afterAutospacing="0"/>
        <w:jc w:val="both"/>
        <w:rPr>
          <w:rFonts w:ascii="Arial" w:hAnsi="Arial" w:cs="Arial"/>
          <w:color w:val="000000"/>
          <w:sz w:val="20"/>
          <w:szCs w:val="20"/>
        </w:rPr>
      </w:pPr>
    </w:p>
    <w:p w:rsidR="00F56152" w:rsidRPr="00A03FB7" w:rsidRDefault="00F56152" w:rsidP="00F56152">
      <w:pPr>
        <w:pStyle w:val="NormalWeb"/>
        <w:numPr>
          <w:ilvl w:val="0"/>
          <w:numId w:val="5"/>
        </w:numPr>
        <w:shd w:val="clear" w:color="auto" w:fill="FFFFFF"/>
        <w:spacing w:before="0" w:beforeAutospacing="0" w:after="240" w:afterAutospacing="0"/>
        <w:jc w:val="both"/>
        <w:rPr>
          <w:rFonts w:ascii="Arial" w:hAnsi="Arial" w:cs="Arial"/>
          <w:color w:val="000000"/>
          <w:sz w:val="20"/>
          <w:szCs w:val="20"/>
        </w:rPr>
      </w:pPr>
      <w:r w:rsidRPr="00A03FB7">
        <w:rPr>
          <w:rFonts w:ascii="Arial" w:hAnsi="Arial" w:cs="Arial"/>
          <w:color w:val="000000"/>
          <w:sz w:val="20"/>
          <w:szCs w:val="20"/>
        </w:rPr>
        <w:t>Artigo 37 da Lei nº. 8.112, de 11/12/90 (DOU 12/12/90) com a redação dada pela Lei nº 9.527, de 10 de dezembro de 1997.</w:t>
      </w:r>
    </w:p>
    <w:p w:rsidR="00F56152" w:rsidRPr="00A03FB7" w:rsidRDefault="00F56152" w:rsidP="00F56152">
      <w:pPr>
        <w:pStyle w:val="NormalWeb"/>
        <w:shd w:val="clear" w:color="auto" w:fill="FFFFFF"/>
        <w:spacing w:before="0" w:beforeAutospacing="0" w:after="240" w:afterAutospacing="0"/>
        <w:jc w:val="both"/>
        <w:rPr>
          <w:rFonts w:ascii="Arial" w:hAnsi="Arial" w:cs="Arial"/>
          <w:color w:val="000000"/>
          <w:sz w:val="20"/>
          <w:szCs w:val="20"/>
        </w:rPr>
      </w:pPr>
      <w:r w:rsidRPr="00A03FB7">
        <w:rPr>
          <w:rFonts w:ascii="Arial" w:hAnsi="Arial" w:cs="Arial"/>
          <w:color w:val="000000"/>
          <w:sz w:val="20"/>
          <w:szCs w:val="20"/>
        </w:rPr>
        <w:t>2.      Artigos 18, 53, 99, 102, inciso IX, e 242 da Lei nº. 8.112, de 11/12/90. (DOU 12/12/90).</w:t>
      </w:r>
    </w:p>
    <w:p w:rsidR="00F56152" w:rsidRPr="00A03FB7" w:rsidRDefault="00F56152" w:rsidP="00F56152">
      <w:pPr>
        <w:pStyle w:val="NormalWeb"/>
        <w:shd w:val="clear" w:color="auto" w:fill="FFFFFF"/>
        <w:spacing w:before="0" w:beforeAutospacing="0" w:after="240" w:afterAutospacing="0"/>
        <w:jc w:val="both"/>
        <w:rPr>
          <w:rFonts w:ascii="Arial" w:hAnsi="Arial" w:cs="Arial"/>
          <w:color w:val="000000"/>
          <w:sz w:val="20"/>
          <w:szCs w:val="20"/>
        </w:rPr>
      </w:pPr>
      <w:r w:rsidRPr="00A03FB7">
        <w:rPr>
          <w:rFonts w:ascii="Arial" w:hAnsi="Arial" w:cs="Arial"/>
          <w:color w:val="000000"/>
          <w:sz w:val="20"/>
          <w:szCs w:val="20"/>
        </w:rPr>
        <w:t xml:space="preserve">3.      Decreto nº 3.151, de 23 de agosto de </w:t>
      </w:r>
      <w:proofErr w:type="gramStart"/>
      <w:r w:rsidRPr="00A03FB7">
        <w:rPr>
          <w:rFonts w:ascii="Arial" w:hAnsi="Arial" w:cs="Arial"/>
          <w:color w:val="000000"/>
          <w:sz w:val="20"/>
          <w:szCs w:val="20"/>
        </w:rPr>
        <w:t>1999</w:t>
      </w:r>
      <w:proofErr w:type="gramEnd"/>
    </w:p>
    <w:p w:rsidR="00F56152" w:rsidRPr="00A03FB7" w:rsidRDefault="00F56152" w:rsidP="00F56152">
      <w:pPr>
        <w:pStyle w:val="NormalWeb"/>
        <w:shd w:val="clear" w:color="auto" w:fill="FFFFFF"/>
        <w:spacing w:before="0" w:beforeAutospacing="0" w:after="240" w:afterAutospacing="0"/>
        <w:jc w:val="both"/>
        <w:rPr>
          <w:rFonts w:ascii="Arial" w:hAnsi="Arial" w:cs="Arial"/>
          <w:color w:val="000000"/>
          <w:sz w:val="20"/>
          <w:szCs w:val="20"/>
        </w:rPr>
      </w:pPr>
      <w:r w:rsidRPr="00A03FB7">
        <w:rPr>
          <w:rFonts w:ascii="Arial" w:hAnsi="Arial" w:cs="Arial"/>
          <w:color w:val="000000"/>
          <w:sz w:val="20"/>
          <w:szCs w:val="20"/>
        </w:rPr>
        <w:t xml:space="preserve">4.      Instrução Normativa MARE nº. </w:t>
      </w:r>
      <w:proofErr w:type="gramStart"/>
      <w:r w:rsidRPr="00A03FB7">
        <w:rPr>
          <w:rFonts w:ascii="Arial" w:hAnsi="Arial" w:cs="Arial"/>
          <w:color w:val="000000"/>
          <w:sz w:val="20"/>
          <w:szCs w:val="20"/>
        </w:rPr>
        <w:t>5</w:t>
      </w:r>
      <w:proofErr w:type="gramEnd"/>
      <w:r w:rsidRPr="00A03FB7">
        <w:rPr>
          <w:rFonts w:ascii="Arial" w:hAnsi="Arial" w:cs="Arial"/>
          <w:color w:val="000000"/>
          <w:sz w:val="20"/>
          <w:szCs w:val="20"/>
        </w:rPr>
        <w:t>, de 23 de fevereiro de 1996.</w:t>
      </w:r>
    </w:p>
    <w:p w:rsidR="00F56152" w:rsidRPr="00A03FB7" w:rsidRDefault="00F56152" w:rsidP="00F56152">
      <w:pPr>
        <w:pStyle w:val="NormalWeb"/>
        <w:shd w:val="clear" w:color="auto" w:fill="FFFFFF"/>
        <w:spacing w:before="0" w:beforeAutospacing="0" w:after="240" w:afterAutospacing="0"/>
        <w:jc w:val="both"/>
        <w:rPr>
          <w:rFonts w:ascii="Arial" w:hAnsi="Arial" w:cs="Arial"/>
          <w:color w:val="000000"/>
          <w:sz w:val="20"/>
          <w:szCs w:val="20"/>
        </w:rPr>
      </w:pPr>
      <w:r w:rsidRPr="00A03FB7">
        <w:rPr>
          <w:rFonts w:ascii="Arial" w:hAnsi="Arial" w:cs="Arial"/>
          <w:color w:val="000000"/>
          <w:sz w:val="20"/>
          <w:szCs w:val="20"/>
        </w:rPr>
        <w:t xml:space="preserve">5.      Art. 1º, § 2º, V, do Decreto nº 6.944, de 21 de agosto de </w:t>
      </w:r>
      <w:proofErr w:type="gramStart"/>
      <w:r w:rsidRPr="00A03FB7">
        <w:rPr>
          <w:rFonts w:ascii="Arial" w:hAnsi="Arial" w:cs="Arial"/>
          <w:color w:val="000000"/>
          <w:sz w:val="20"/>
          <w:szCs w:val="20"/>
        </w:rPr>
        <w:t>2009</w:t>
      </w:r>
      <w:proofErr w:type="gramEnd"/>
    </w:p>
    <w:p w:rsidR="00F56152" w:rsidRPr="00A03FB7" w:rsidRDefault="00F56152" w:rsidP="00F56152">
      <w:pPr>
        <w:pStyle w:val="NormalWeb"/>
        <w:shd w:val="clear" w:color="auto" w:fill="FFFFFF"/>
        <w:spacing w:before="0" w:beforeAutospacing="0" w:after="240" w:afterAutospacing="0"/>
        <w:jc w:val="both"/>
        <w:rPr>
          <w:rFonts w:ascii="Arial" w:hAnsi="Arial" w:cs="Arial"/>
          <w:color w:val="000000"/>
          <w:sz w:val="20"/>
          <w:szCs w:val="20"/>
        </w:rPr>
      </w:pPr>
      <w:r w:rsidRPr="00A03FB7">
        <w:rPr>
          <w:rFonts w:ascii="Arial" w:hAnsi="Arial" w:cs="Arial"/>
          <w:color w:val="000000"/>
          <w:sz w:val="20"/>
          <w:szCs w:val="20"/>
        </w:rPr>
        <w:t xml:space="preserve">6.      Portaria nº 83 do Ministério do Planejamento, de 17 de abril de </w:t>
      </w:r>
      <w:proofErr w:type="gramStart"/>
      <w:r w:rsidRPr="00A03FB7">
        <w:rPr>
          <w:rFonts w:ascii="Arial" w:hAnsi="Arial" w:cs="Arial"/>
          <w:color w:val="000000"/>
          <w:sz w:val="20"/>
          <w:szCs w:val="20"/>
        </w:rPr>
        <w:t>2001</w:t>
      </w:r>
      <w:proofErr w:type="gramEnd"/>
    </w:p>
    <w:p w:rsidR="00F56152" w:rsidRPr="00A03FB7" w:rsidRDefault="00F56152" w:rsidP="00F56152">
      <w:pPr>
        <w:pStyle w:val="NormalWeb"/>
        <w:shd w:val="clear" w:color="auto" w:fill="FFFFFF"/>
        <w:spacing w:before="0" w:beforeAutospacing="0" w:after="240" w:afterAutospacing="0"/>
        <w:jc w:val="both"/>
        <w:rPr>
          <w:rFonts w:ascii="Arial" w:hAnsi="Arial" w:cs="Arial"/>
          <w:color w:val="000000"/>
          <w:sz w:val="20"/>
          <w:szCs w:val="20"/>
        </w:rPr>
      </w:pPr>
      <w:r w:rsidRPr="00A03FB7">
        <w:rPr>
          <w:rFonts w:ascii="Arial" w:hAnsi="Arial" w:cs="Arial"/>
          <w:color w:val="000000"/>
          <w:sz w:val="20"/>
          <w:szCs w:val="20"/>
        </w:rPr>
        <w:t xml:space="preserve">7.      Ofício-Circular MPOG nº 07, de 17 de abril de </w:t>
      </w:r>
      <w:proofErr w:type="gramStart"/>
      <w:r w:rsidRPr="00A03FB7">
        <w:rPr>
          <w:rFonts w:ascii="Arial" w:hAnsi="Arial" w:cs="Arial"/>
          <w:color w:val="000000"/>
          <w:sz w:val="20"/>
          <w:szCs w:val="20"/>
        </w:rPr>
        <w:t>2000</w:t>
      </w:r>
      <w:proofErr w:type="gramEnd"/>
    </w:p>
    <w:p w:rsidR="00F56152" w:rsidRPr="00A03FB7" w:rsidRDefault="00F56152" w:rsidP="00F56152">
      <w:pPr>
        <w:pStyle w:val="NormalWeb"/>
        <w:shd w:val="clear" w:color="auto" w:fill="FFFFFF"/>
        <w:spacing w:before="0" w:beforeAutospacing="0" w:after="240" w:afterAutospacing="0"/>
        <w:jc w:val="both"/>
        <w:rPr>
          <w:rFonts w:ascii="Arial" w:hAnsi="Arial" w:cs="Arial"/>
          <w:color w:val="000000"/>
          <w:sz w:val="20"/>
          <w:szCs w:val="20"/>
        </w:rPr>
      </w:pPr>
      <w:r w:rsidRPr="00A03FB7">
        <w:rPr>
          <w:rFonts w:ascii="Arial" w:hAnsi="Arial" w:cs="Arial"/>
          <w:color w:val="000000"/>
          <w:sz w:val="20"/>
          <w:szCs w:val="20"/>
        </w:rPr>
        <w:t xml:space="preserve">8.      Portaria nº 57 do Ministério do Planejamento, de 14 de abril de </w:t>
      </w:r>
      <w:proofErr w:type="gramStart"/>
      <w:r w:rsidRPr="00A03FB7">
        <w:rPr>
          <w:rFonts w:ascii="Arial" w:hAnsi="Arial" w:cs="Arial"/>
          <w:color w:val="000000"/>
          <w:sz w:val="20"/>
          <w:szCs w:val="20"/>
        </w:rPr>
        <w:t>2000</w:t>
      </w:r>
      <w:proofErr w:type="gramEnd"/>
    </w:p>
    <w:p w:rsidR="00F56152" w:rsidRPr="00A03FB7" w:rsidRDefault="00F56152" w:rsidP="00F56152">
      <w:pPr>
        <w:pStyle w:val="NormalWeb"/>
        <w:shd w:val="clear" w:color="auto" w:fill="FFFFFF"/>
        <w:spacing w:before="0" w:beforeAutospacing="0" w:after="240" w:afterAutospacing="0"/>
        <w:jc w:val="both"/>
        <w:rPr>
          <w:rFonts w:ascii="Arial" w:hAnsi="Arial" w:cs="Arial"/>
          <w:color w:val="000000"/>
          <w:sz w:val="20"/>
          <w:szCs w:val="20"/>
        </w:rPr>
      </w:pPr>
      <w:r w:rsidRPr="00A03FB7">
        <w:rPr>
          <w:rFonts w:ascii="Arial" w:hAnsi="Arial" w:cs="Arial"/>
          <w:color w:val="000000"/>
          <w:sz w:val="20"/>
          <w:szCs w:val="20"/>
        </w:rPr>
        <w:t xml:space="preserve">9.      Nota Técnica nº 585/2009, de 16 de novembro de </w:t>
      </w:r>
      <w:proofErr w:type="gramStart"/>
      <w:r w:rsidRPr="00A03FB7">
        <w:rPr>
          <w:rFonts w:ascii="Arial" w:hAnsi="Arial" w:cs="Arial"/>
          <w:color w:val="000000"/>
          <w:sz w:val="20"/>
          <w:szCs w:val="20"/>
        </w:rPr>
        <w:t>2009</w:t>
      </w:r>
      <w:proofErr w:type="gramEnd"/>
    </w:p>
    <w:p w:rsidR="00F56152" w:rsidRPr="00A03FB7" w:rsidRDefault="00F56152" w:rsidP="00F56152">
      <w:pPr>
        <w:pStyle w:val="NormalWeb"/>
        <w:shd w:val="clear" w:color="auto" w:fill="FFFFFF"/>
        <w:spacing w:before="0" w:beforeAutospacing="0" w:after="240" w:afterAutospacing="0"/>
        <w:jc w:val="both"/>
        <w:rPr>
          <w:rFonts w:ascii="Arial" w:hAnsi="Arial" w:cs="Arial"/>
          <w:color w:val="000000"/>
          <w:sz w:val="20"/>
          <w:szCs w:val="20"/>
        </w:rPr>
      </w:pPr>
      <w:r w:rsidRPr="00A03FB7">
        <w:rPr>
          <w:rFonts w:ascii="Arial" w:hAnsi="Arial" w:cs="Arial"/>
          <w:color w:val="000000"/>
          <w:sz w:val="20"/>
          <w:szCs w:val="20"/>
        </w:rPr>
        <w:t xml:space="preserve">10.    Nota Técnica nº 398/2009, de 14 de outubro de </w:t>
      </w:r>
      <w:proofErr w:type="gramStart"/>
      <w:r w:rsidRPr="00A03FB7">
        <w:rPr>
          <w:rFonts w:ascii="Arial" w:hAnsi="Arial" w:cs="Arial"/>
          <w:color w:val="000000"/>
          <w:sz w:val="20"/>
          <w:szCs w:val="20"/>
        </w:rPr>
        <w:t>2009</w:t>
      </w:r>
      <w:proofErr w:type="gramEnd"/>
    </w:p>
    <w:p w:rsidR="00F56152" w:rsidRPr="00A03FB7" w:rsidRDefault="00F56152" w:rsidP="00F56152">
      <w:pPr>
        <w:pStyle w:val="NormalWeb"/>
        <w:shd w:val="clear" w:color="auto" w:fill="FFFFFF"/>
        <w:spacing w:before="0" w:beforeAutospacing="0" w:after="240" w:afterAutospacing="0"/>
        <w:jc w:val="both"/>
        <w:rPr>
          <w:rFonts w:ascii="Arial" w:hAnsi="Arial" w:cs="Arial"/>
          <w:color w:val="000000"/>
          <w:sz w:val="20"/>
          <w:szCs w:val="20"/>
        </w:rPr>
      </w:pPr>
      <w:r w:rsidRPr="00A03FB7">
        <w:rPr>
          <w:rFonts w:ascii="Arial" w:hAnsi="Arial" w:cs="Arial"/>
          <w:color w:val="000000"/>
          <w:sz w:val="20"/>
          <w:szCs w:val="20"/>
        </w:rPr>
        <w:t>11.    Portaria nº 79 do Ministério do Planejamento, de 28 de fevereiro de 2002.</w:t>
      </w:r>
    </w:p>
    <w:p w:rsidR="0089713E" w:rsidRPr="00A03FB7" w:rsidRDefault="0089713E">
      <w:pPr>
        <w:rPr>
          <w:rFonts w:ascii="Arial" w:hAnsi="Arial" w:cs="Arial"/>
        </w:rPr>
      </w:pPr>
    </w:p>
    <w:sectPr w:rsidR="0089713E" w:rsidRPr="00A03FB7" w:rsidSect="008971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7C0"/>
    <w:multiLevelType w:val="hybridMultilevel"/>
    <w:tmpl w:val="2CF8A75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10165D98"/>
    <w:multiLevelType w:val="hybridMultilevel"/>
    <w:tmpl w:val="94C6DFDE"/>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1CA06A7F"/>
    <w:multiLevelType w:val="hybridMultilevel"/>
    <w:tmpl w:val="96246C0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274F38D9"/>
    <w:multiLevelType w:val="hybridMultilevel"/>
    <w:tmpl w:val="50506F0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294163E9"/>
    <w:multiLevelType w:val="hybridMultilevel"/>
    <w:tmpl w:val="30C087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D522D75"/>
    <w:multiLevelType w:val="hybridMultilevel"/>
    <w:tmpl w:val="22D6F5B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507567E1"/>
    <w:multiLevelType w:val="hybridMultilevel"/>
    <w:tmpl w:val="033C8C6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6194403D"/>
    <w:multiLevelType w:val="multilevel"/>
    <w:tmpl w:val="4D7CF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387FC1"/>
    <w:multiLevelType w:val="hybridMultilevel"/>
    <w:tmpl w:val="8644853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7257519B"/>
    <w:multiLevelType w:val="hybridMultilevel"/>
    <w:tmpl w:val="E55C8F4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725A3821"/>
    <w:multiLevelType w:val="hybridMultilevel"/>
    <w:tmpl w:val="2FBA63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72A91094"/>
    <w:multiLevelType w:val="multilevel"/>
    <w:tmpl w:val="7D3AC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3"/>
  </w:num>
  <w:num w:numId="4">
    <w:abstractNumId w:val="0"/>
  </w:num>
  <w:num w:numId="5">
    <w:abstractNumId w:val="5"/>
  </w:num>
  <w:num w:numId="6">
    <w:abstractNumId w:val="8"/>
  </w:num>
  <w:num w:numId="7">
    <w:abstractNumId w:val="7"/>
  </w:num>
  <w:num w:numId="8">
    <w:abstractNumId w:val="11"/>
  </w:num>
  <w:num w:numId="9">
    <w:abstractNumId w:val="1"/>
  </w:num>
  <w:num w:numId="10">
    <w:abstractNumId w:val="10"/>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76BC"/>
    <w:rsid w:val="00293FB0"/>
    <w:rsid w:val="005C212A"/>
    <w:rsid w:val="006620CB"/>
    <w:rsid w:val="0089713E"/>
    <w:rsid w:val="00A03FB7"/>
    <w:rsid w:val="00C54BCD"/>
    <w:rsid w:val="00E050CB"/>
    <w:rsid w:val="00E876BC"/>
    <w:rsid w:val="00F56152"/>
    <w:rsid w:val="00FD1DB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BC"/>
    <w:rPr>
      <w:rFonts w:ascii="Times New Roman" w:eastAsia="Times New Roman" w:hAnsi="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876BC"/>
    <w:pPr>
      <w:spacing w:before="100" w:beforeAutospacing="1" w:after="100" w:afterAutospacing="1"/>
    </w:pPr>
    <w:rPr>
      <w:sz w:val="24"/>
      <w:szCs w:val="24"/>
    </w:rPr>
  </w:style>
  <w:style w:type="character" w:styleId="Hyperlink">
    <w:name w:val="Hyperlink"/>
    <w:basedOn w:val="Fontepargpadro"/>
    <w:uiPriority w:val="99"/>
    <w:unhideWhenUsed/>
    <w:rsid w:val="00E876BC"/>
    <w:rPr>
      <w:color w:val="0000FF"/>
      <w:u w:val="single"/>
    </w:rPr>
  </w:style>
  <w:style w:type="character" w:customStyle="1" w:styleId="apple-converted-space">
    <w:name w:val="apple-converted-space"/>
    <w:basedOn w:val="Fontepargpadro"/>
    <w:rsid w:val="00E876BC"/>
  </w:style>
  <w:style w:type="character" w:styleId="nfase">
    <w:name w:val="Emphasis"/>
    <w:basedOn w:val="Fontepargpadro"/>
    <w:uiPriority w:val="20"/>
    <w:qFormat/>
    <w:rsid w:val="00F56152"/>
    <w:rPr>
      <w:i/>
      <w:iCs/>
    </w:rPr>
  </w:style>
</w:styles>
</file>

<file path=word/webSettings.xml><?xml version="1.0" encoding="utf-8"?>
<w:webSettings xmlns:r="http://schemas.openxmlformats.org/officeDocument/2006/relationships" xmlns:w="http://schemas.openxmlformats.org/wordprocessingml/2006/main">
  <w:divs>
    <w:div w:id="29108683">
      <w:bodyDiv w:val="1"/>
      <w:marLeft w:val="0"/>
      <w:marRight w:val="0"/>
      <w:marTop w:val="0"/>
      <w:marBottom w:val="0"/>
      <w:divBdr>
        <w:top w:val="none" w:sz="0" w:space="0" w:color="auto"/>
        <w:left w:val="none" w:sz="0" w:space="0" w:color="auto"/>
        <w:bottom w:val="none" w:sz="0" w:space="0" w:color="auto"/>
        <w:right w:val="none" w:sz="0" w:space="0" w:color="auto"/>
      </w:divBdr>
    </w:div>
    <w:div w:id="126440390">
      <w:bodyDiv w:val="1"/>
      <w:marLeft w:val="0"/>
      <w:marRight w:val="0"/>
      <w:marTop w:val="0"/>
      <w:marBottom w:val="0"/>
      <w:divBdr>
        <w:top w:val="none" w:sz="0" w:space="0" w:color="auto"/>
        <w:left w:val="none" w:sz="0" w:space="0" w:color="auto"/>
        <w:bottom w:val="none" w:sz="0" w:space="0" w:color="auto"/>
        <w:right w:val="none" w:sz="0" w:space="0" w:color="auto"/>
      </w:divBdr>
    </w:div>
    <w:div w:id="393435343">
      <w:bodyDiv w:val="1"/>
      <w:marLeft w:val="0"/>
      <w:marRight w:val="0"/>
      <w:marTop w:val="0"/>
      <w:marBottom w:val="0"/>
      <w:divBdr>
        <w:top w:val="none" w:sz="0" w:space="0" w:color="auto"/>
        <w:left w:val="none" w:sz="0" w:space="0" w:color="auto"/>
        <w:bottom w:val="none" w:sz="0" w:space="0" w:color="auto"/>
        <w:right w:val="none" w:sz="0" w:space="0" w:color="auto"/>
      </w:divBdr>
    </w:div>
    <w:div w:id="406346437">
      <w:bodyDiv w:val="1"/>
      <w:marLeft w:val="0"/>
      <w:marRight w:val="0"/>
      <w:marTop w:val="0"/>
      <w:marBottom w:val="0"/>
      <w:divBdr>
        <w:top w:val="none" w:sz="0" w:space="0" w:color="auto"/>
        <w:left w:val="none" w:sz="0" w:space="0" w:color="auto"/>
        <w:bottom w:val="none" w:sz="0" w:space="0" w:color="auto"/>
        <w:right w:val="none" w:sz="0" w:space="0" w:color="auto"/>
      </w:divBdr>
    </w:div>
    <w:div w:id="823397714">
      <w:bodyDiv w:val="1"/>
      <w:marLeft w:val="0"/>
      <w:marRight w:val="0"/>
      <w:marTop w:val="0"/>
      <w:marBottom w:val="0"/>
      <w:divBdr>
        <w:top w:val="none" w:sz="0" w:space="0" w:color="auto"/>
        <w:left w:val="none" w:sz="0" w:space="0" w:color="auto"/>
        <w:bottom w:val="none" w:sz="0" w:space="0" w:color="auto"/>
        <w:right w:val="none" w:sz="0" w:space="0" w:color="auto"/>
      </w:divBdr>
    </w:div>
    <w:div w:id="1199053090">
      <w:bodyDiv w:val="1"/>
      <w:marLeft w:val="0"/>
      <w:marRight w:val="0"/>
      <w:marTop w:val="0"/>
      <w:marBottom w:val="0"/>
      <w:divBdr>
        <w:top w:val="none" w:sz="0" w:space="0" w:color="auto"/>
        <w:left w:val="none" w:sz="0" w:space="0" w:color="auto"/>
        <w:bottom w:val="none" w:sz="0" w:space="0" w:color="auto"/>
        <w:right w:val="none" w:sz="0" w:space="0" w:color="auto"/>
      </w:divBdr>
    </w:div>
    <w:div w:id="210337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4136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SUGEP</dc:creator>
  <cp:lastModifiedBy>Informática SUGEP</cp:lastModifiedBy>
  <cp:revision>2</cp:revision>
  <dcterms:created xsi:type="dcterms:W3CDTF">2017-05-29T18:17:00Z</dcterms:created>
  <dcterms:modified xsi:type="dcterms:W3CDTF">2017-05-29T18:17:00Z</dcterms:modified>
</cp:coreProperties>
</file>